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 xml:space="preserve">PORTARIA GM N. 2.001, DE </w:t>
      </w:r>
      <w:proofErr w:type="gramStart"/>
      <w:r>
        <w:rPr>
          <w:rFonts w:ascii="Roboto" w:hAnsi="Roboto"/>
          <w:b/>
          <w:bCs/>
          <w:color w:val="333333"/>
          <w:sz w:val="21"/>
          <w:szCs w:val="21"/>
        </w:rPr>
        <w:t>3</w:t>
      </w:r>
      <w:proofErr w:type="gramEnd"/>
      <w:r>
        <w:rPr>
          <w:rFonts w:ascii="Roboto" w:hAnsi="Roboto"/>
          <w:b/>
          <w:bCs/>
          <w:color w:val="333333"/>
          <w:sz w:val="21"/>
          <w:szCs w:val="21"/>
        </w:rPr>
        <w:t xml:space="preserve"> DE AGOSTO DE 2017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nfase"/>
          <w:rFonts w:ascii="Roboto" w:hAnsi="Roboto"/>
          <w:color w:val="333333"/>
          <w:sz w:val="21"/>
          <w:szCs w:val="21"/>
        </w:rPr>
        <w:t>Altera a Portaria nº 1.555/GM/MS, de 30 de julho de 2013, que dispõe sobre as normas de financiamento e execução do Componente Básico da Assistência Farmacêutica no âmbito do Sistema Único de Saúde (SUS</w:t>
      </w:r>
      <w:proofErr w:type="gramStart"/>
      <w:r>
        <w:rPr>
          <w:rStyle w:val="nfase"/>
          <w:rFonts w:ascii="Roboto" w:hAnsi="Roboto"/>
          <w:color w:val="333333"/>
          <w:sz w:val="21"/>
          <w:szCs w:val="21"/>
        </w:rPr>
        <w:t>)</w:t>
      </w:r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O MINISTRO DE ESTADO DA SAÚDE, no uso das atribuições que lhe conferem os incisos I e </w:t>
      </w:r>
      <w:proofErr w:type="spellStart"/>
      <w:proofErr w:type="gramStart"/>
      <w:r>
        <w:rPr>
          <w:rFonts w:ascii="Roboto" w:hAnsi="Roboto"/>
          <w:color w:val="333333"/>
          <w:sz w:val="21"/>
          <w:szCs w:val="21"/>
        </w:rPr>
        <w:t>IIdo</w:t>
      </w:r>
      <w:proofErr w:type="spellEnd"/>
      <w:proofErr w:type="gramEnd"/>
      <w:r>
        <w:rPr>
          <w:rFonts w:ascii="Roboto" w:hAnsi="Roboto"/>
          <w:color w:val="333333"/>
          <w:sz w:val="21"/>
          <w:szCs w:val="21"/>
        </w:rPr>
        <w:t xml:space="preserve"> parágrafo único do art. 87 da Constituição, e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Considerando a Lei nº 8.080, de 19 de setembro de 1990, que dispõe sobre as condições para a promoção, proteção e recuperação da saúde, a organização e o funcionamento dos serviços correspondentes e dá outras providências;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Lei Complementar nº 141, de 13 de janeiro de 2012, que regulamenta o §º </w:t>
      </w:r>
      <w:proofErr w:type="gramStart"/>
      <w:r>
        <w:rPr>
          <w:rFonts w:ascii="Roboto" w:hAnsi="Roboto"/>
          <w:color w:val="333333"/>
          <w:sz w:val="21"/>
          <w:szCs w:val="21"/>
        </w:rPr>
        <w:t>3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do art. 198 da Constituição Federal para dispor sobre os valores mínimos a serem aplicados anualmente pela União, Estados, Distrito Federal e Municípios em ações e serviços públicos de saúde, estabelece os critérios de rateio dos recursos de transferências para a saúde e as normas de fiscalização, avaliação e controle das despesas com saúde nas 3 (três) esferas de governo, revoga dispositivos das Leis </w:t>
      </w:r>
      <w:proofErr w:type="spellStart"/>
      <w:r>
        <w:rPr>
          <w:rFonts w:ascii="Roboto" w:hAnsi="Roboto"/>
          <w:color w:val="333333"/>
          <w:sz w:val="21"/>
          <w:szCs w:val="21"/>
        </w:rPr>
        <w:t>nºs</w:t>
      </w:r>
      <w:proofErr w:type="spellEnd"/>
      <w:r>
        <w:rPr>
          <w:rFonts w:ascii="Roboto" w:hAnsi="Roboto"/>
          <w:color w:val="333333"/>
          <w:sz w:val="21"/>
          <w:szCs w:val="21"/>
        </w:rPr>
        <w:t> 8.080, de 1990, e 8.689, de 27 de julho de 1993 e dá outras providências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o Decreto nº 7.508, de 28 de junho de 2011, que regulamenta a Lei nº 8.080, de 1990, para dispor sobre a organização do SUS, o planejamento da saúde, a assistência à saúde e à articulação interfederativa, e dá outras </w:t>
      </w:r>
      <w:proofErr w:type="gramStart"/>
      <w:r>
        <w:rPr>
          <w:rFonts w:ascii="Roboto" w:hAnsi="Roboto"/>
          <w:color w:val="333333"/>
          <w:sz w:val="21"/>
          <w:szCs w:val="21"/>
        </w:rPr>
        <w:t>providências</w:t>
      </w:r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Portaria Interministerial nº 2.960 / MS / CCPR /MAPA / MCTI / </w:t>
      </w:r>
      <w:proofErr w:type="spellStart"/>
      <w:proofErr w:type="gramStart"/>
      <w:r>
        <w:rPr>
          <w:rFonts w:ascii="Roboto" w:hAnsi="Roboto"/>
          <w:color w:val="333333"/>
          <w:sz w:val="21"/>
          <w:szCs w:val="21"/>
        </w:rPr>
        <w:t>MinC</w:t>
      </w:r>
      <w:proofErr w:type="spellEnd"/>
      <w:proofErr w:type="gramEnd"/>
      <w:r>
        <w:rPr>
          <w:rFonts w:ascii="Roboto" w:hAnsi="Roboto"/>
          <w:color w:val="333333"/>
          <w:sz w:val="21"/>
          <w:szCs w:val="21"/>
        </w:rPr>
        <w:t xml:space="preserve"> / MDA /MDS / MDIC / MIN / MMA, de 9 de dezembro de 2008, que aprova o Programa Nacional de Plantas Medicinais e Fitoterápicos e cria o Comitê Nacional de Plantas Medicinais e Fitoterápicos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Portaria nº 971/GM/MS, de </w:t>
      </w:r>
      <w:proofErr w:type="gramStart"/>
      <w:r>
        <w:rPr>
          <w:rFonts w:ascii="Roboto" w:hAnsi="Roboto"/>
          <w:color w:val="333333"/>
          <w:sz w:val="21"/>
          <w:szCs w:val="21"/>
        </w:rPr>
        <w:t>3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de maio de 2006, que aprova a Política Nacional de Práticas Integrativas e Complementares (PNPIC) no SUS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Portaria nº 204/GM/MS, de 29 de janeiro de 2007, que regulamenta o financiamento e a transferência dos recursos federais para as ações e os serviços de saúde, na forma de blocos de financiamento, com o respectivo monitoramento e </w:t>
      </w:r>
      <w:proofErr w:type="gramStart"/>
      <w:r>
        <w:rPr>
          <w:rFonts w:ascii="Roboto" w:hAnsi="Roboto"/>
          <w:color w:val="333333"/>
          <w:sz w:val="21"/>
          <w:szCs w:val="21"/>
        </w:rPr>
        <w:t>controle</w:t>
      </w:r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Portaria nº 2.583/GM/MS, de 10 de outubro de 2007, que define elenco de medicamentos e insumos disponibilizados pelo SUS, nos termos da Lei nº 11.347, de 2006, aos usuários portadores de diabetes </w:t>
      </w:r>
      <w:proofErr w:type="spellStart"/>
      <w:proofErr w:type="gramStart"/>
      <w:r>
        <w:rPr>
          <w:rFonts w:ascii="Roboto" w:hAnsi="Roboto"/>
          <w:color w:val="333333"/>
          <w:sz w:val="21"/>
          <w:szCs w:val="21"/>
        </w:rPr>
        <w:t>mellitus</w:t>
      </w:r>
      <w:proofErr w:type="spellEnd"/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Portaria nº 3.176/GM/MS, de 24 de dezembro de 2008, que aprova orientações acerca da elaboração, da aplicação e do fluxo do Relatório Anual de Gestão e quanto a informações sobre o Plano de </w:t>
      </w:r>
      <w:proofErr w:type="gramStart"/>
      <w:r>
        <w:rPr>
          <w:rFonts w:ascii="Roboto" w:hAnsi="Roboto"/>
          <w:color w:val="333333"/>
          <w:sz w:val="21"/>
          <w:szCs w:val="21"/>
        </w:rPr>
        <w:t>Saúde</w:t>
      </w:r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Portaria nº 886/GM/MS, de 20 de abril de 2010, que institui a Farmácia Viva no âmbito do </w:t>
      </w:r>
      <w:proofErr w:type="gramStart"/>
      <w:r>
        <w:rPr>
          <w:rFonts w:ascii="Roboto" w:hAnsi="Roboto"/>
          <w:color w:val="333333"/>
          <w:sz w:val="21"/>
          <w:szCs w:val="21"/>
        </w:rPr>
        <w:t>SUS</w:t>
      </w:r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Considerando a Portaria nº 2.488/GM/MS, de 21 de outubro de 2011, que aprova a Política Nacional de Atenção Básica, estabelecendo a revisão de diretrizes e normas para a organização da Atenção Básica, para a Estratégia Saúde da Família (ESF) e o Programa de Agentes Comunitários de Saúde (PACS</w:t>
      </w:r>
      <w:proofErr w:type="gramStart"/>
      <w:r>
        <w:rPr>
          <w:rFonts w:ascii="Roboto" w:hAnsi="Roboto"/>
          <w:color w:val="333333"/>
          <w:sz w:val="21"/>
          <w:szCs w:val="21"/>
        </w:rPr>
        <w:t>)</w:t>
      </w:r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Portaria nº 533/GM/MS, de 28 de março de 2012, que estabelece o elenco de medicamentos e insumos da Relação Nacional de Medicamentos Essenciais (RENAME) no </w:t>
      </w:r>
      <w:proofErr w:type="gramStart"/>
      <w:r>
        <w:rPr>
          <w:rFonts w:ascii="Roboto" w:hAnsi="Roboto"/>
          <w:color w:val="333333"/>
          <w:sz w:val="21"/>
          <w:szCs w:val="21"/>
        </w:rPr>
        <w:t>SUS</w:t>
      </w:r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Portaria nº 271/GM/MS, de 27 de fevereiro de 2013, que institui a Base Nacional de Dados de ações e serviços da Assistência Farmacêutica e regulamenta o conjunto de dados, fluxo e cronograma de envio referente ao Componente Básico da Assistência Farmacêutica no âmbito do </w:t>
      </w:r>
      <w:proofErr w:type="gramStart"/>
      <w:r>
        <w:rPr>
          <w:rFonts w:ascii="Roboto" w:hAnsi="Roboto"/>
          <w:color w:val="333333"/>
          <w:sz w:val="21"/>
          <w:szCs w:val="21"/>
        </w:rPr>
        <w:t>SUS</w:t>
      </w:r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Resolução nº 338/CNS/MS, de </w:t>
      </w:r>
      <w:proofErr w:type="gramStart"/>
      <w:r>
        <w:rPr>
          <w:rFonts w:ascii="Roboto" w:hAnsi="Roboto"/>
          <w:color w:val="333333"/>
          <w:sz w:val="21"/>
          <w:szCs w:val="21"/>
        </w:rPr>
        <w:t>6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de maio de 2004, que aprova a Política Nacional de Assistência Farmacêutica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lastRenderedPageBreak/>
        <w:t xml:space="preserve">Considerando a Resolução da Diretoria Colegiada (RDC) nº 67/ANVISA, de </w:t>
      </w:r>
      <w:proofErr w:type="gramStart"/>
      <w:r>
        <w:rPr>
          <w:rFonts w:ascii="Roboto" w:hAnsi="Roboto"/>
          <w:color w:val="333333"/>
          <w:sz w:val="21"/>
          <w:szCs w:val="21"/>
        </w:rPr>
        <w:t>8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de outubro de 2007, que dispõe sobre Boas Práticas de Manipulação de Preparações Magistrais e </w:t>
      </w:r>
      <w:proofErr w:type="spellStart"/>
      <w:r>
        <w:rPr>
          <w:rFonts w:ascii="Roboto" w:hAnsi="Roboto"/>
          <w:color w:val="333333"/>
          <w:sz w:val="21"/>
          <w:szCs w:val="21"/>
        </w:rPr>
        <w:t>Oficinais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para Uso Humano em farmácias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RDC nº 39/ANVISA, de </w:t>
      </w:r>
      <w:proofErr w:type="gramStart"/>
      <w:r>
        <w:rPr>
          <w:rFonts w:ascii="Roboto" w:hAnsi="Roboto"/>
          <w:color w:val="333333"/>
          <w:sz w:val="21"/>
          <w:szCs w:val="21"/>
        </w:rPr>
        <w:t>2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de setembro de 2011, que aprova a Farmacopeia Homeopática Brasileira, 3ª (terceira) edição e dá outras providências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RDC nº 18/ANVISA, de </w:t>
      </w:r>
      <w:proofErr w:type="gramStart"/>
      <w:r>
        <w:rPr>
          <w:rFonts w:ascii="Roboto" w:hAnsi="Roboto"/>
          <w:color w:val="333333"/>
          <w:sz w:val="21"/>
          <w:szCs w:val="21"/>
        </w:rPr>
        <w:t>3</w:t>
      </w:r>
      <w:proofErr w:type="gramEnd"/>
      <w:r>
        <w:rPr>
          <w:rFonts w:ascii="Roboto" w:hAnsi="Roboto"/>
          <w:color w:val="333333"/>
          <w:sz w:val="21"/>
          <w:szCs w:val="21"/>
        </w:rPr>
        <w:t xml:space="preserve"> de abril de 2013, que dispõe sobre as boas práticas de processamento e armazenamento de plantas medicinais, preparação e </w:t>
      </w:r>
      <w:proofErr w:type="spellStart"/>
      <w:r>
        <w:rPr>
          <w:rFonts w:ascii="Roboto" w:hAnsi="Roboto"/>
          <w:color w:val="333333"/>
          <w:sz w:val="21"/>
          <w:szCs w:val="21"/>
        </w:rPr>
        <w:t>dispensação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de produtos magistrais e </w:t>
      </w:r>
      <w:proofErr w:type="spellStart"/>
      <w:r>
        <w:rPr>
          <w:rFonts w:ascii="Roboto" w:hAnsi="Roboto"/>
          <w:color w:val="333333"/>
          <w:sz w:val="21"/>
          <w:szCs w:val="21"/>
        </w:rPr>
        <w:t>oficinais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de plantas medicinais e fitoterápicos em farmácias vivas no âmbito do SUS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Resolução nº 1/CIT, de 17 de janeiro de 2012, que estabelece as diretrizes nacionais da RENAME no âmbito do </w:t>
      </w:r>
      <w:proofErr w:type="gramStart"/>
      <w:r>
        <w:rPr>
          <w:rFonts w:ascii="Roboto" w:hAnsi="Roboto"/>
          <w:color w:val="333333"/>
          <w:sz w:val="21"/>
          <w:szCs w:val="21"/>
        </w:rPr>
        <w:t>SUS</w:t>
      </w:r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Considerando a necessidade de dar tratamento adequado às demandas e necessidades de saúde em Municípios com acréscimos populacionais resultantes de fluxos migratórios comprovados por documentos oficiais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Considerando a </w:t>
      </w:r>
      <w:proofErr w:type="spellStart"/>
      <w:r>
        <w:rPr>
          <w:rFonts w:ascii="Roboto" w:hAnsi="Roboto"/>
          <w:color w:val="333333"/>
          <w:sz w:val="21"/>
          <w:szCs w:val="21"/>
        </w:rPr>
        <w:t>pactuação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ocorrida na 3ª reunião de 30 de março de 2017 da Comissão Intergestores Tripartite (CIT), resolve: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proofErr w:type="spellStart"/>
      <w:r>
        <w:rPr>
          <w:rFonts w:ascii="Roboto" w:hAnsi="Roboto"/>
          <w:color w:val="333333"/>
          <w:sz w:val="21"/>
          <w:szCs w:val="21"/>
        </w:rPr>
        <w:t>Art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1º Alterar a Portaria nº 1.555/GM/MS, de 30 de julho de 2013, publicada no Diário Oficial da União nº 146, Seção 1, pg. 71, de 31 de julho de 2013, no seu Inciso I do art. 3º e § 2º e § 4º do mesmo </w:t>
      </w:r>
      <w:proofErr w:type="gramStart"/>
      <w:r>
        <w:rPr>
          <w:rFonts w:ascii="Roboto" w:hAnsi="Roboto"/>
          <w:color w:val="333333"/>
          <w:sz w:val="21"/>
          <w:szCs w:val="21"/>
        </w:rPr>
        <w:t>artigo</w:t>
      </w:r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Art. 2º O inciso I do art. 3º da Portaria 1.555/GM/MS de 2013, passa a vigorar com a seguinte redação: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“A União repassará o valor de R$ 5,58 (cinco reais e cinquenta e oito centavos) por habitante/ano, para financiar a aquisição dos medicamentos e insumos do Componente Básico da Assistência Farmacêutica constantes dos Anexos I e IV da RENAME vigente no SUS.” (NR</w:t>
      </w:r>
      <w:proofErr w:type="gramStart"/>
      <w:r>
        <w:rPr>
          <w:rFonts w:ascii="Roboto" w:hAnsi="Roboto"/>
          <w:color w:val="333333"/>
          <w:sz w:val="21"/>
          <w:szCs w:val="21"/>
        </w:rPr>
        <w:t>)</w:t>
      </w:r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proofErr w:type="spellStart"/>
      <w:r>
        <w:rPr>
          <w:rFonts w:ascii="Roboto" w:hAnsi="Roboto"/>
          <w:color w:val="333333"/>
          <w:sz w:val="21"/>
          <w:szCs w:val="21"/>
        </w:rPr>
        <w:t>Art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3º O § 2º do art. 3º da Portaria 1.555/GM/MS de 2013, passa a vigorar com a seguinte redação: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“Para fins de alocação dos recursos federais, estaduais e municipais, utilizar-se-á a população estimada nos referidos entes federativos pela Fundação Instituto Brasileiro de Geografia e Estatística (IBGE) para 1º de julho de 2016.” (NR</w:t>
      </w:r>
      <w:proofErr w:type="gramStart"/>
      <w:r>
        <w:rPr>
          <w:rFonts w:ascii="Roboto" w:hAnsi="Roboto"/>
          <w:color w:val="333333"/>
          <w:sz w:val="21"/>
          <w:szCs w:val="21"/>
        </w:rPr>
        <w:t>)</w:t>
      </w:r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proofErr w:type="spellStart"/>
      <w:r>
        <w:rPr>
          <w:rFonts w:ascii="Roboto" w:hAnsi="Roboto"/>
          <w:color w:val="333333"/>
          <w:sz w:val="21"/>
          <w:szCs w:val="21"/>
        </w:rPr>
        <w:t>Art</w:t>
      </w:r>
      <w:proofErr w:type="spellEnd"/>
      <w:r>
        <w:rPr>
          <w:rFonts w:ascii="Roboto" w:hAnsi="Roboto"/>
          <w:color w:val="333333"/>
          <w:sz w:val="21"/>
          <w:szCs w:val="21"/>
        </w:rPr>
        <w:t xml:space="preserve"> 4º O § 4º do art. 3º da Portaria 1.555/GM/MS de 2013, passa a vigorar com a seguinte redação: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“Para evitar a redução no custeio deste Componente, os Municípios que tiverem a população reduzida nos termos do IBGE 2016 em relação à população estimada nos termos do IBGE 2009 terão os recursos federais, estaduais e municipais alocados de acordo com a estimativa do IBGE 2009.” (NR</w:t>
      </w:r>
      <w:proofErr w:type="gramStart"/>
      <w:r>
        <w:rPr>
          <w:rFonts w:ascii="Roboto" w:hAnsi="Roboto"/>
          <w:color w:val="333333"/>
          <w:sz w:val="21"/>
          <w:szCs w:val="21"/>
        </w:rPr>
        <w:t>)</w:t>
      </w:r>
      <w:proofErr w:type="gramEnd"/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Art. 5º Esta Portaria entra em vigor na data de sua publicação.</w:t>
      </w:r>
    </w:p>
    <w:p w:rsidR="00B3498E" w:rsidRDefault="00B3498E" w:rsidP="00B349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RICARDO BARROS</w:t>
      </w:r>
    </w:p>
    <w:p w:rsidR="00603076" w:rsidRDefault="00603076"/>
    <w:sectPr w:rsidR="00603076" w:rsidSect="00603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98E"/>
    <w:rsid w:val="00603076"/>
    <w:rsid w:val="00B3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349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marcias</dc:creator>
  <cp:lastModifiedBy>marcias</cp:lastModifiedBy>
  <cp:revision>1</cp:revision>
  <dcterms:created xsi:type="dcterms:W3CDTF">2017-08-23T13:29:00Z</dcterms:created>
  <dcterms:modified xsi:type="dcterms:W3CDTF">2017-08-23T13:30:00Z</dcterms:modified>
</cp:coreProperties>
</file>