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B6" w:rsidRPr="00A618B6" w:rsidRDefault="00A618B6" w:rsidP="00A618B6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113A66"/>
          <w:sz w:val="36"/>
          <w:szCs w:val="36"/>
          <w:lang w:eastAsia="pt-BR"/>
        </w:rPr>
      </w:pPr>
      <w:r w:rsidRPr="00A618B6">
        <w:rPr>
          <w:rFonts w:ascii="inherit" w:eastAsia="Times New Roman" w:hAnsi="inherit" w:cs="Times New Roman"/>
          <w:b/>
          <w:bCs/>
          <w:color w:val="113A66"/>
          <w:sz w:val="36"/>
          <w:szCs w:val="36"/>
          <w:lang w:eastAsia="pt-BR"/>
        </w:rPr>
        <w:t>Resolução ANVISA/DC Nº 327 DE 09/12/2019</w:t>
      </w:r>
    </w:p>
    <w:p w:rsidR="00A618B6" w:rsidRPr="00A618B6" w:rsidRDefault="00A618B6" w:rsidP="00A618B6">
      <w:pPr>
        <w:spacing w:before="150"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  <w:pict>
          <v:rect id="_x0000_i1025" style="width:0;height:0" o:hralign="center" o:hrstd="t" o:hr="t" fillcolor="#a0a0a0" stroked="f"/>
        </w:pict>
      </w:r>
    </w:p>
    <w:p w:rsidR="00A618B6" w:rsidRPr="00A618B6" w:rsidRDefault="00A618B6" w:rsidP="00A618B6">
      <w:pPr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  <w:t>  Publicado no DOU em 11 dez 2019</w:t>
      </w:r>
    </w:p>
    <w:p w:rsidR="00A618B6" w:rsidRPr="00A618B6" w:rsidRDefault="00A618B6" w:rsidP="00A618B6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</w:pPr>
      <w:r w:rsidRPr="00A618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pt-BR"/>
        </w:rPr>
        <w:t>Compartilhar:</w:t>
      </w:r>
    </w:p>
    <w:p w:rsidR="00A618B6" w:rsidRPr="00A618B6" w:rsidRDefault="00A618B6" w:rsidP="00A618B6">
      <w:pPr>
        <w:spacing w:after="0" w:line="240" w:lineRule="auto"/>
        <w:ind w:left="-300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  <w:t> </w:t>
      </w:r>
    </w:p>
    <w:p w:rsidR="00A618B6" w:rsidRPr="00A618B6" w:rsidRDefault="00A618B6" w:rsidP="00A618B6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</w:pPr>
      <w:r>
        <w:rPr>
          <w:rFonts w:ascii="Helvetica" w:eastAsia="Times New Roman" w:hAnsi="Helvetica" w:cs="Times New Roman"/>
          <w:noProof/>
          <w:color w:val="23527C"/>
          <w:sz w:val="20"/>
          <w:szCs w:val="20"/>
          <w:lang w:eastAsia="pt-BR"/>
        </w:rPr>
        <w:drawing>
          <wp:inline distT="0" distB="0" distL="0" distR="0">
            <wp:extent cx="304800" cy="304800"/>
            <wp:effectExtent l="0" t="0" r="0" b="0"/>
            <wp:docPr id="5" name="Imagem 5" descr="https://www.legisweb.com.br/img/images/flat_web_icon_set/color/Facebook.png">
              <a:hlinkClick xmlns:a="http://schemas.openxmlformats.org/drawingml/2006/main" r:id="rId6" tgtFrame="&quot;_blank&quot;" tooltip="&quot;Compartilhar no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gisweb.com.br/img/images/flat_web_icon_set/color/Facebook.png">
                      <a:hlinkClick r:id="rId6" tgtFrame="&quot;_blank&quot;" tooltip="&quot;Compartilhar no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B6" w:rsidRPr="00A618B6" w:rsidRDefault="00A618B6" w:rsidP="00A618B6">
      <w:pPr>
        <w:spacing w:after="0" w:line="240" w:lineRule="auto"/>
        <w:ind w:left="-300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  <w:t> </w:t>
      </w:r>
    </w:p>
    <w:p w:rsidR="00A618B6" w:rsidRPr="00A618B6" w:rsidRDefault="00A618B6" w:rsidP="00A618B6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</w:pPr>
      <w:r>
        <w:rPr>
          <w:rFonts w:ascii="Helvetica" w:eastAsia="Times New Roman" w:hAnsi="Helvetica" w:cs="Times New Roman"/>
          <w:noProof/>
          <w:color w:val="23527C"/>
          <w:sz w:val="20"/>
          <w:szCs w:val="20"/>
          <w:lang w:eastAsia="pt-BR"/>
        </w:rPr>
        <w:drawing>
          <wp:inline distT="0" distB="0" distL="0" distR="0">
            <wp:extent cx="304800" cy="304800"/>
            <wp:effectExtent l="0" t="0" r="0" b="0"/>
            <wp:docPr id="4" name="Imagem 4" descr="https://www.legisweb.com.br/img/images/flat_web_icon_set/color/Twitter.png">
              <a:hlinkClick xmlns:a="http://schemas.openxmlformats.org/drawingml/2006/main" r:id="rId8" tgtFrame="&quot;_blank&quot;" tooltip="&quot;Twe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gisweb.com.br/img/images/flat_web_icon_set/color/Twitter.png">
                      <a:hlinkClick r:id="rId8" tgtFrame="&quot;_blank&quot;" tooltip="&quot;Twe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B6" w:rsidRPr="00A618B6" w:rsidRDefault="00A618B6" w:rsidP="00A618B6">
      <w:pPr>
        <w:spacing w:after="0" w:line="240" w:lineRule="auto"/>
        <w:ind w:left="-300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  <w:t> </w:t>
      </w:r>
    </w:p>
    <w:p w:rsidR="00A618B6" w:rsidRPr="00A618B6" w:rsidRDefault="00A618B6" w:rsidP="00A618B6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</w:pPr>
      <w:r>
        <w:rPr>
          <w:rFonts w:ascii="Helvetica" w:eastAsia="Times New Roman" w:hAnsi="Helvetica" w:cs="Times New Roman"/>
          <w:noProof/>
          <w:color w:val="23527C"/>
          <w:sz w:val="20"/>
          <w:szCs w:val="20"/>
          <w:lang w:eastAsia="pt-BR"/>
        </w:rPr>
        <w:drawing>
          <wp:inline distT="0" distB="0" distL="0" distR="0">
            <wp:extent cx="304800" cy="304800"/>
            <wp:effectExtent l="0" t="0" r="0" b="0"/>
            <wp:docPr id="3" name="Imagem 3" descr="https://www.legisweb.com.br/img/images/flat_web_icon_set/color/Google+.png">
              <a:hlinkClick xmlns:a="http://schemas.openxmlformats.org/drawingml/2006/main" r:id="rId10" tgtFrame="&quot;_blank&quot;" tooltip="&quot;Compartilhar no Google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gisweb.com.br/img/images/flat_web_icon_set/color/Google+.png">
                      <a:hlinkClick r:id="rId10" tgtFrame="&quot;_blank&quot;" tooltip="&quot;Compartilhar no Google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B6" w:rsidRPr="00A618B6" w:rsidRDefault="00A618B6" w:rsidP="00A618B6">
      <w:pPr>
        <w:spacing w:after="0" w:line="240" w:lineRule="auto"/>
        <w:ind w:left="-300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  <w:t> </w:t>
      </w:r>
    </w:p>
    <w:p w:rsidR="00A618B6" w:rsidRPr="00A618B6" w:rsidRDefault="00A618B6" w:rsidP="00A618B6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</w:pPr>
      <w:r>
        <w:rPr>
          <w:rFonts w:ascii="Helvetica" w:eastAsia="Times New Roman" w:hAnsi="Helvetica" w:cs="Times New Roman"/>
          <w:noProof/>
          <w:color w:val="23527C"/>
          <w:sz w:val="20"/>
          <w:szCs w:val="20"/>
          <w:lang w:eastAsia="pt-BR"/>
        </w:rPr>
        <w:drawing>
          <wp:inline distT="0" distB="0" distL="0" distR="0">
            <wp:extent cx="304800" cy="304800"/>
            <wp:effectExtent l="0" t="0" r="0" b="0"/>
            <wp:docPr id="2" name="Imagem 2" descr="https://www.legisweb.com.br/img/images/flat_web_icon_set/color/LinkedIn.png">
              <a:hlinkClick xmlns:a="http://schemas.openxmlformats.org/drawingml/2006/main" r:id="rId12" tgtFrame="&quot;_blank&quot;" tooltip="&quot;Compartilhar no Linked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egisweb.com.br/img/images/flat_web_icon_set/color/LinkedIn.png">
                      <a:hlinkClick r:id="rId12" tgtFrame="&quot;_blank&quot;" tooltip="&quot;Compartilhar no Linked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B6" w:rsidRPr="00A618B6" w:rsidRDefault="00A618B6" w:rsidP="00A618B6">
      <w:pPr>
        <w:spacing w:after="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br/>
      </w:r>
    </w:p>
    <w:p w:rsidR="00A618B6" w:rsidRPr="00A618B6" w:rsidRDefault="00A618B6" w:rsidP="00A618B6">
      <w:pPr>
        <w:spacing w:after="150" w:line="375" w:lineRule="atLeast"/>
        <w:jc w:val="center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pt-BR"/>
        </w:rPr>
        <w:t xml:space="preserve">Dispõe sobre os procedimentos para a concessão da Autorização Sanitária para a fabricação e a importação, bem como estabelece requisitos para a comercialização, prescrição, a dispensação, o monitoramento e a fiscalização de produtos de </w:t>
      </w:r>
      <w:proofErr w:type="spellStart"/>
      <w:r w:rsidRPr="00A618B6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pt-BR"/>
        </w:rPr>
        <w:t xml:space="preserve"> para fins medicinais, e dá outras providências.</w:t>
      </w:r>
    </w:p>
    <w:p w:rsidR="00A618B6" w:rsidRPr="00A618B6" w:rsidRDefault="00A618B6" w:rsidP="00A618B6">
      <w:pPr>
        <w:spacing w:after="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:rsidR="00A618B6" w:rsidRPr="00A618B6" w:rsidRDefault="00A618B6" w:rsidP="00A618B6">
      <w:pPr>
        <w:spacing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Times New Roman"/>
          <w:noProof/>
          <w:color w:val="23527C"/>
          <w:sz w:val="21"/>
          <w:szCs w:val="21"/>
          <w:lang w:eastAsia="pt-BR"/>
        </w:rPr>
        <w:drawing>
          <wp:inline distT="0" distB="0" distL="0" distR="0">
            <wp:extent cx="8115300" cy="1428750"/>
            <wp:effectExtent l="0" t="0" r="0" b="0"/>
            <wp:docPr id="1" name="Imagem 1" descr="Substituição Tributári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bstituição Tributári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bookmarkStart w:id="0" w:name="ini-legis"/>
      <w:bookmarkEnd w:id="0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 Diretoria Colegiada da Agência Nacional de Vigilância Sanitária, no uso das atribuições que lhe confere o art. 15, III e IV, aliado ao art. 7º, III e IV, da Lei nº 9.782, de 26 de janeiro de 1999, e ao art. 53, V, §§ 1º e 3º do Regimento interno aprovado pela Resolução da Diretoria Colegiada - RDC nº 255, de 10 de dezembro de 2018, resolve adotar a seguinte </w:t>
      </w: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 xml:space="preserve">Resolução da Diretoria Colegiada, conforme deliberado em reunião realizada em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3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 dezembro de 2019, e eu, Diretor-Presidente, determino a sua publicação.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CAPÍTULO I DISPOSIÇÕES INICIAIS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Seção I Objetivos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1º Esta Resolução define as condições e procedimentos para a concessão da Autorização Sanitária para a fabricação e a importação, bem como estabelece requisitos para a comercialização, prescrição, a dispensação, o monitoramento e a fiscalização de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para fins medicinais de uso humano, e dá outras providências.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Seção II Da Abrangência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2º O procedimento estabelecido no disposto nesta Resolução se aplica à fabricação, importação, comercialização, monitoramento, fiscalização prescrição e dispensação de produtos industrializados contendo como ativos derivados vegetais ou fitofármacos da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sativa, aqui denominados como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Seção III Definições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3º Para efeito desta Resolução, além das definições já dispostas na legislação sanitária para fitoterápicos e fitofármacos, especificamente na Resolução da Diretoria Colegiada - RDC nº 26, de 13 de maio de 2014, e na Resolução da Diretoria Colegiada - RDC nº 24, de 14 de junho de 2011 e suas atualizações, são adotadas as seguintes definições: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 - Autorização Sanitária (AS): ato autorizador para o exercício das atividades definidas nesta Resolução, emitido pela Agência Nacional de Vigilância Sanitária e publicado no Diário Oficial da União (DOU), mediante deferimento de solicitação da empresa que pretende fabricar, importar e comercializar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para fins medicinais;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II - Autoridade Sanitária de país reconhecido pela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: autoridades internacionais que sejam membros do PIC/S - Esquema de Cooperação em Inspeção Farmacêutica;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III -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Canabidiol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(CBD):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fitocanabinoide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 nome químico: 2-[(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1R,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6R)-3-metil-6-(1-metiletenil)-2- ciclohexen-1-il]-5-pentil-1,3-Benzenodiol, número CAS: 13956-29-1 e fórmula molecular: C21H30O2;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IV - Cuidados paliativos: a assistência ativa e integral a pacientes cuja doença não mais responde ao tratamento curativo, visando em especial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garantia da melhor qualidade de vida, tanto para o paciente como para seus familiares;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>V - Excipiente: substância adicionada ao produto como veículo ou com finalidade de prevenir alterações, corrigir e/ou melhorar as características organolépticas e tecnológicas;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VI - Folheto informativo: material impresso que acompanha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contendo informações de composição e uso do produto, dentre outras, para instruir o usuário;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VII - Médico assistente: profissional médico que tem compromisso com o paciente, sua atuação visa restabelecer a saúde, o bem estar ou prevenir a doença;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VIII - Procedimento simplificado: rito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peticionamento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que requer a submissão dos documentos da qualidade e informações estabelecidas nesta Regulamentação;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IX -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: produto industrializado, objeto de Autorização Sanitária pela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, destinado à finalidade medicinal, contendo como ativos, exclusivamente, derivados vegetais ou fitofármacos da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sativa; e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X -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Tetrahidrocanabinol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(THC):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fitocanabinoide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 nome químico: (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6AR,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10aR)-6,6,9-trimetil-3- pentil-6a,7,8,10a-tetrahidro-6H-benzo[c]chromen-1-ol, CAS: 1972-08-3 e fórmula molecular: C21H30O20.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CAPÍTULO II DAS DISPOSIÇÕES GERAIS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4º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contendo como ativos exclusivamente derivados vegetais ou fitofármacos da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sativa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devem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possuir predominantemente,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canabidiol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(CBD) e não mais que 0,2%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tetrahidrocanabinol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(THC).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Parágrafo único.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poderão conter teor de THC acima de 0,2%, desde que sejam destinados a cuidados paliativos exclusivamente para pacientes sem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outras alternativas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terapêuticas e em situações clínicas irreversíveis ou terminais.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5º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podem ser prescritos quando estiverem esgotadas outras opções terapêuticas disponíveis no mercado brasileiro.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6º O registro de medicamentos à base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spp.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e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seus derivados e fitofármacos deve seguir a legislação específica vigente.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7º 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concederá Autorização Sanitária para a fabricação e a importação de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8º A Autorização Sanitária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terá prazo improrrogável de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5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(cinco) anos, contados após a data da publicação da autorização no Diário Oficial da União - DOU.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>§ 1º A empresa responsável pelo produto para o qual foi concedida a Autorização Sanitária poderá, dentro do prazo de vigência da autorização, pleitear a regularização do produto pelas vias de registro de medicamento, seguindo a legislação específica vigente.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2º Até o vencimento da Autorização Sanitária, a empresa que pretenda fabricar, importar e comercializar no Brasil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 solicitar a regularização pela via de registro de medicamentos.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9º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não podem ostentar nomes comerciais, devendo ser designados pelo nome do derivado vegetal ou fitofármaco acompanhado do nome da empresa responsável.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Parágrafo único. Quando a empresa pretender solicitar Autorização Sanitária para mais de um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com composição qualitativa semelhante, variando apenas as concentrações de THC e CBD, a concentração desses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canabinoides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 fazer parte do nome do produto.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10.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serão autorizados para utilização apenas por via oral ou nasal.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1º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devem possuir qualidade farmacêutica para uso humano.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2º Não podem ser adicionados aos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substâncias isoladas de origem sintética ou semissintética, excetuando-se aquelas com função de excipiente.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3º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não podem conter substâncias que sejam potencialmente tóxicas nas dosagens utilizadas.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4º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não podem ser de liberação modificada,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nanotecnológicos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e peguilhados.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5º Não são considerados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para fins medicinais os cosméticos, produtos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fumígenos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, produtos para a saúde ou alimentos à base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spp.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e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seus derivados.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6º Não é permitido que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sejam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comercializados sob a forma de droga vegetal da planta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spp.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ou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suas partes, mesmo após processo de estabilização e secagem, ou na sua forma rasurada, triturada ou pulverizada, ainda que disponibilizada em qualquer forma farmacêutica.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11.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importados devem estar devidamente regularizados pelas autoridades competentes em seus países de origem.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12. É proibida qualquer publicidade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 xml:space="preserve">Art. 13. A prescrição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é restrita aos profissionais médicos legalmente habilitados pelo Conselho Federal de Medicina.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14. Não é permitida "Amostra Grátis" para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15. É vedada a manipulação de fórmulas magistrais contendo derivados ou fitofármacos à base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spp.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CAPÍTULO III DA AUTORIZAÇÃO SANITÁRIA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Seção I Dos requisitos gerais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16. O procedimento de concessão da Autorização Sanitária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terá rito simplificado, a partir de requerimento específico peticionado pela empresa interessada, previamente à fabricação, importação ou comercialização do produto, com a juntada dos documentos exigidos nesta Resolução.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1º Será concedido número da Autorização Sanitária para cada apresentação comercial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por meio de publicação no Diário Oficial da União - DOU desde que preenchidos todos os requisitos solicitados nesta Resolução.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2º A comercialização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somente está autorizada após a publicação da concessão da Autorização Sanitária.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3º Findo o prazo de validade da concessão de Autorização Sanitária, o produto não poderá ser fabricado e importado para fins de comercialização no Brasil.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4º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comercializados devem, obrigatoriamente, corresponder ao que foi submetido no processo de autorização protocolado na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5º A empresa solicitante da Autorização Sanitária é a responsável pela qualidade e segurança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6º A documentação técnica da qualidade que sustenta o pedido de autorização deve ser mantida por um ano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após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expirada a validade do lote a que se refere ou por pelo menos, cinco anos, após a liberação à venda, o que for mais longo.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7º Caso a documentação solicitada nesta norma não seja apresentada de forma adequada, 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poderá fazer exigências, inclusive após a concessão da Autorização Sanitária, ao responsável pelo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nos termos já estabelecidos para o procedimento de petições submetidas da Anvisa.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17. O processo administrativo para fins da Autorização Sanitária dos produtos da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seguirá procedimento de submissão e publicação da área responsável pelo registro de medicamento da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 xml:space="preserve">§ 1º Para fins da concessão da Autorização Sanitária não é necessária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avaliação prévia da documentação submetida pela empresa.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2º As autorizações Sanitárias concedidas nos termos desta Resolução poderão ser avaliadas pela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a qualquer tempo ou verificadas in loco, podendo resultar em alteração da decisão, solicitação de provas adicionais, recolhimento de lotes, suspensão de fabricação e/ou comercialização e o cancelamento da Autorização Sanitária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sem prejuízo às demais medidas legais cabíveis.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3º As medidas administrativas citadas no parágrafo anterior serão aplicadas de forma unilateral pela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18. Para fins da fabricação e comercialização de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em território nacional, a empresa deve importar o insumo farmacêutico nas formas de derivado vegetal, fitofármaco, a granel, ou produto industrializado.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Parágrafo único. Não é permitida a importação da planta ou partes da planta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spp.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19. A empresa responsável pela solicitação da Autorização Sanitária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 possuir as seguintes informações documentadas: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 - informações apresentadas na solicitação da Autorização Sanitária no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produto, bem como o conteúdo de toda a documentação técnica da qualidade, produzida durante o processo de fabricação ou importação desses produtos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 - lista de lotes fabricados ou importados durante o ano, destinados exclusivamente à comercialização no mercado brasileiro, incluindo data de fabricação, número e tamanho do lote (massa/volume e unidades);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III - racional técnico de todas as mudanças efetuadas no produto após Autorização Sanitária de implementação imediata, com ou sem protocolo na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IV - última versão do(s) documento(s) contendo testes, limites de especificação e métodos analíticos de controle de qualidade do produto, conforme aprovado pela empresa;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 - relatórios de estudos de estabilidade;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VI - racional técnico e científico que justifique a formulação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e a via de administração;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e</w:t>
      </w:r>
      <w:proofErr w:type="gram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VII - Relatório Periódico de Avaliação Benefício-Risco para 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20. Os documentos descritos no art. 19 serão objeto de controle sanitário pela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inclusive, em inspeções sanitárias.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>Seção II Das Medidas Antecedentes à Submissão da Autorização Sanitária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21. A empresa responsável pela submissão da Autorização Sanitária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 possuir: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 - autorização de Funcionamento de Empresa (AFE) emitida pela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com atividade de fabricar ou importar medicamento;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 - autorização Especial (AE);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III - certificado de Boas Práticas de Fabricação (CBPF) de Medicamentos para a empresa fabricante do produto;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IV - boas Práticas de Distribuição e Armazenamento de medicamento;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V - racional técnico e científico que justifique a formulação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e a via de administração;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 - documentação técnica da qualidade do produto;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VII - condições operacionais para realizar as análises do controle de qualidade em território brasileiro;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VIII - capacidade para receber e tratar as notificações de efeitos adversos e queixas técnicas sobre o produto;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e</w:t>
      </w:r>
      <w:proofErr w:type="gram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IX - conhecimento da concentração dos principais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canabinoides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presentes na formulação, dentre eles, minimamente, CBD e THC e, ser capaz de justificar o desenvolvimento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seja ele fitoterápico ou fitofármaco.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Parágrafo único. Para o racional técnico e científico, a empresa deve considerar a formulação, a dose, a duração do uso e a população alvo.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22. Apenas as empresas fabricantes que possuam Certificado de Boas Práticas de Fabricação (CBPF) de medicamentos emitido pela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ou as empresas importadoras que cumprem com as Boas Práticas de Distribuição e Armazenamento de medicamentos, podem solicitar a Autorização Sanitária e fabricar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1º No período de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3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(três) anos a contar da data de publicação desta Resolução, será aceito documento equivalente, emitido por autoridade sanitária de país reconhecido pela Anvisa, com relação às medidas e controles aplicados para a comprovação de BPF de medicamentos.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 xml:space="preserve">§ 2º Durante o período de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3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(três) anos a contar da data de publicação desta Resolução, a empresa deverá protocolar pedido de CBPF para Medicamentos na Anvisa, conforme estabelecido em legislação específica vigente.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3º A ausência do protocolo do pedido de CBPF para Medicamentos no prazo estabelecido resultará no cancelamento da Autorização Sanitária.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Seção III Das Medidas para Submissão da Autorização Sanitária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23. O pedido de Autorização Sanitária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deverá ser individualizado por forma farmacêutica.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24. Todas as petições de solicitação de Autorização Sanitária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devem ser instruídas com os seguintes documentos: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 - formulário de petição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, disponível no portal da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II - formulário para o pedido de Autorização Sanitária de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devidamente preenchido, conforme modelo disponível no Anexo I;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III - justificativa contendo o resumo do racional técnico-científico sobre a formulação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e a via de administração;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IV - justificativa contendo o resumo do racional de desenvolvimento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fitoterápico ou fitofármaco e as concentrações dos principais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canabinoides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dentre eles, minimamente, o CBD e THC;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 - layout de embalagem e rotulagem;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 - layout de folheto informativo;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VII - declaração de conformidade, conforme Anexo II;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VIII - relatório de controle de qualidade das matérias primas e produto acabado;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IX - última versão do(s) documento(s) contendo os limites de especificação e métodos analíticos de controle de qualidade do produto;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X - relatório dos estudos de estabilidade;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XI - Termo de Consentimento Livre e Esclarecido (TCLE) a ser assinado pelo paciente, conforme Anexo III, o qual deve estar preenchido com os dados específicos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que se pretende autorizar;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e</w:t>
      </w:r>
      <w:proofErr w:type="gram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XII - plano de monitoramento do uso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 xml:space="preserve">Art. 25. Para a solicitação da Autorização Sanitária bem como suas modificações, a empresa solicitante deverá efetuar o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peticionamento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e o protocolo dos documentos necessários, exclusivamente, pela via eletrônica.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Seção IV Do controle de qualidade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26. O controle de qualidade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contendo fitofármaco como ativo deve ser realizado conforme o disposto nas normas de medicamentos Específicos.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27. O controle de qualidade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contendo derivados vegetais como ativo deve ser realizado conforme o disposto nas normas para medicamentos Fitoterápicos.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28. Todos os excipientes utilizados no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devem ser aprovados para uso farmacêutico.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29. Quando existir monografia na Farmacopeia Brasileira ou em outra farmacopeia oficial, conforme disposto na Resolução da Diretoria Colegiada - RDC nº 37, de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6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 julho de 2009, que trata da admissibilidade das Farmacopeias estrangeiras, para a matéria-prima ou produto acabado, essa monografia passa a ser de cumprimento obrigatório.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30. O controle de qualidade do produto acabado deve ser realizado em território nacional para todos os lotes importados.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1º É permitida a terceirização total ou parcial, em território nacional, do controle de qualidade do produto acabado e dos estudos de estabilidade com laboratório credenciado pela Rede Brasileira de Laboratórios Analíticos em Saúde (REBLAS) ou com empresas fabricantes que tenham CBPF para fabricar medicamentos.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2º Os testes de controle das matérias-primas podem ser terceirizados conforme preceitos estabelecidos na Resolução da Diretoria Colegiada - RDC nº 234, de 20 de junho de 2018.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31. Caso 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ou as matérias-primas que lhe originam, sejam fabricadas em mais de um local, deve ser apresentada documentação referente a cada local de fabricação.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Seção V Da Rotulagem, Embalagem e Folheto Informativo dos Produtos de </w:t>
      </w:r>
      <w:proofErr w:type="spellStart"/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proofErr w:type="gram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32. Não podem constar na rotulagem, embalagem e folheto informativo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: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 - designações, nomes geográficos, símbolos, figuras, desenhos ou quaisquer indicações que possibilitem interpretação falsa, erro ou confusão quanto à origem, procedência, </w:t>
      </w: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>natureza, composição ou qualidade, que atribuam aos produtos finalidades ou características diferentes daquelas que realmente possuam;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 - os termos medicamento, remédio, fitoterápico, suplemento, natural, ou qualquer outro que tenha semelhança com estes;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III - qualquer indicação quanto à destinação de uso, especialmente incluindo alegações terapêuticas ou medicinais de forma direta ou indireta;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IV - imagens de pessoas fazendo uso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V - selos, marcas nominativas, figurativas ou mistas de instituições governamentais, entidades filantrópicas, fundações, associações e sociedades médicas, organizações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não-governamentais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associações que representem os interesses dos consumidores ou dos profissionais de saúde e selos de certificação de qualidade, exceto se exigidos em normas específicas;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 - imagens ou figuras que remetam à indicação do sabor do produto;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VII - expressões ou imagens que possam sugerir que a saúde de uma pessoa poderá ser afetada por não usar o produto;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VIII - rótulos com layout semelhante ao de um medicamento registrado pela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ou por outra autoridade sanitária internacional; e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IX - cores que possam causar confusão ou erro na identificação da faixa preta.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33. Podem constar na rotulagem, embalagem e folheto informativo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: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 - figuras anatômicas, a fim de orientar o profissional de saúde ou o paciente sobre a correta utilização do produto;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e</w:t>
      </w:r>
      <w:proofErr w:type="gram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 - o sabor do produto.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34. As embalagens e rotulagens de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devem possuir características que inibam erros de dispensação e de administração, trocas ou uso equivocado.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35. As embalagens, rotulagens e folhetos informativos devem ser escritos em Língua Portuguesa.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36. Devem ser disponibilizadas na embalagem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as seguintes informações: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 - o nome do produto;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 xml:space="preserve">II - a informação se o produto é constituído pelo derivado vegetal ou fitofármacos derivados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III - a composição qualitativa e quantitativa dos marcadores ou fitofármacos estabelecidos para o produto;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IV - a frase: "Produto à base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V - a frase, em negrito: "Este produto não possui eficácia e segurança avaliada pela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 - a frase: "Este produto deve ser usado somente conforme orientação médica";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VII - as características físicas e organolépticas do produto, inclusive após a reconstituição e/ou diluição;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VIII - o modo de uso;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IX - a via de administração;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X - as advertências quanto ao uso do produto, as quais devem incluir os efeitos adversos, potenciais interações alimentares, medicamentosas ou com exames laboratoriais, quando conhecidas;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XI - a frase, em negrito: "Mantenha fora do alcance de crianças";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XII - a frase: "Não exceda o uso indicado pelo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prescritor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XIII - o nome e endereço da empresa titular da Autorização Sanitária no Brasil;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XIV - o nome do profissional responsável técnico, número de inscrição e sigla do conselho de classe do profissional;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XV - o telefone do serviço de atendimento ao consumidor da empresa titular da Autorização Sanitária;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XVI - o número da Autorização Sanitária conforme publicado em Diário Oficial da União;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XVII - a data de fabricação, número de lote e o prazo de validade;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XVIII - os cuidados de conservação, indicando a faixa de temperatura e condições de armazenamento, conforme estudo de estabilidade;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XIX - a quantidade total de peso líquido, volume e unidades, conforme o caso;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e</w:t>
      </w:r>
      <w:proofErr w:type="gram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XX - a expressão "Indústria Brasileira", quando aplicável.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>§ 1º As informações descritas no caput devem estar escritas em formato de fácil leitura e devem ser de fácil compreensão.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2º Quando todas as informações dispostas no caput não couberem na embalagem interna do produto,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devem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ser disponibilizadas, minimamente, o disposto nos incisos I a VI, IX, XI, XIII, XV a XVII e XIX.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3º Quando o espaço na embalagem interna for insuficiente, as demais informações dispostas no caput devem ser disponibilizadas na embalagem externa.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4º No folheto informativo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 constar em negrito, minimamente, as seguintes advertências: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 - "Venda sob Prescrição Médica";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 - "Só Pode ser Vendido com Retenção de Receita";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III - "Uso desse produto pode causar dependência física ou psíquica";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IV - "Este produto não deve ser utilizado em crianças menores de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2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(dois) anos de idade";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 - "Este produto não substitui o uso de medicamentos registrados";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 - "Este produto não possui os estudos clínicos completos que comprovam a sua eficácia e segurança";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VII - "Há incertezas quanto à segurança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à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longo prazo do uso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como terapia médica";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VIII - "O uso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é admitido quando há uma condição clínica definida em que outras opções de tratamentos estiverem esgotadas e que dados científicos sugerem que a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pode ser eficaz";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IX - "Durante o uso do produto, o paciente não deve dirigir veículos ou operar máquinas ou realizar atividades que impliquem em riscos para si e para terceiros, pois sua habilidade e atenção podem estar prejudicadas";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X - "Atenção: Risco para Mulheres Grávidas e Lactantes";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e</w:t>
      </w:r>
      <w:proofErr w:type="gram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XI - "Este produto é de uso individual, é proibido passar para outra pessoa".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5º No folheto informativo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 constar informações sobre: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 - os cuidados na utilização;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e</w:t>
      </w:r>
      <w:proofErr w:type="gram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 xml:space="preserve">II - o descarte seguro, conforme os procedimentos definidos em acordo setorial ou termo de compromisso destinado à implantação de sistemas de logística reversa, previsto na Lei nº 12.305, de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2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 agosto de 2010.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37. Os rótulos das embalagens de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devem ter uma faixa horizontal de cor preta abrangendo todos os seus lados, na altura do terço médio e com largura não inferior a um terço da largura do maior lado da face maior.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1º No interior da faixa preta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contendo até 0,2% de THC devem ser incluídas apenas as frases, em caixa alta, "VENDA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SOB PRESCRIÇÃO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MÉDICA" e "SÓ PODE SER VENDIDO COM RETENÇÃO DE RECEITA".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2º No interior da faixa preta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contendo acima de 0,2% de THC devem ser incluídas apenas as frases, em caixa alta, "VENDA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SOB PRESCRIÇÃO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MÉDICA" e o "ATENÇÃO: USO DESSE PRODUTO PODE CAUSAR DEPENDÊNCIA FÍSICA OU PSÍQUICA".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38. Na faixa preta deve ser utilizada a mesma referência de cor preta usada para medicamentos.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Seção VI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Das informações e dispositivos para rastreabilidade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39. O número do lote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data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 fabricação (mês/ano) e data de validade (mês/ano), devem ser impressos nas embalagens do produto de forma facilmente compreensível, legível e indelével, utilizando letras com a maior dimensão possível para a sua fácil leitura e identificação.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1º A legibilidade dessas informações deve ser garantida sem a utilização de instrumentos ópticos, exceto para aquelas pessoas que necessitem de correção visual.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2º Nas embalagens secundárias é proibido usar exclusivamente de relevo negativo ou positivo, sem cor ou com cor que não mantenha nítido e permanente o contraste com a cor do suporte para a impressão das informações exigidas no caput deste artigo.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40. As embalagens secundárias devem conter lacre ou selo de segurança que seja irrecuperável após seu rompimento e permita detectar qualquer tentativa de rompimento, para garantir sua inviolabilidade.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1º Quando utilizada a colagem de abas, a empresa deve garantir os requisitos descritos no caput deste artigo para ser considerada um lacre de segurança.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 xml:space="preserve">§ 2º Quando utilizado selos de segurança, além das características descritas no caput deste artigo, eles não podem permitir a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recolagem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e devem conter a identificação personalizada do laboratório.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3º No caso de embalagens que permitam o acesso às embalagens primárias por mais de uma extremidade, ambas devem atender aos requisitos contidos no caput deste artigo.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4º Quando o produto for disponibilizado exclusivamente em embalagem primária e for passível de abertura, ela deverá conter lacre ou selo de segurança, conforme características do caput deste artigo.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41. As embalagens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devem conter mecanismos de identificação e segurança que possibilitem o rastreamento do produto desde a fabricação ou importação até o momento da dispensação, conforme dispostos em normas específicas.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42. A embalagem secundária ou, na sua ausência, a embalagem primária, deve possuir o código de barras GTIN de identificação e segurança que possibilite o rastreamento do produto desde a fabricação ou importação até o momento da dispensação.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Parágrafo único. É permitido colocar o Código de Barras GTIN na face lateral da embalagem, sobre a faixa de restrição de prescrição, estruturando uma abertura na mesma.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43. É facultativo incluir nas embalagens secundárias do produto ou, na sua ausência, nas embalagens primárias, a tinta reativa e sob a mesma a palavra "Qualidade" e a logomarca da empresa titular da autorização sanitária, caso elas contenham mecanismos de identificação e segurança que possibilitem o rastreamento do produto desde a fabricação ou importação até o momento da dispensação.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1º A tinta reativa deve ser disposta em uma das laterais, na altura da faixa preta, sendo para isto permitido abrir uma janela nas referidas faixas que permita a fixação da tinta.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2º Qualquer outro local da face externa da embalagem pode ser utilizado desde que não afete as demais exigências legais e seja colocada uma indicação ao consumidor do local onde se deve raspar.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Seção VII Das informações para as caixas de transporte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44. Os rótulos das caixas de transporte de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devem conter, impressas ou etiquetadas, as seguintes informações: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>I - o nome do titular da Autorização Sanitária ou sua logomarca, desde que ela contenha o nome da empresa;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 - os cuidados de conservação, indicando a faixa de temperatura e condições de armazenamento, conforme estudo de estabilidade do medicamento.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CAPÍTULO IV DAS ALTERAÇÕES NA AUTORIZAÇÃO SANITÁRIA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45. As mudanças no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após a concessão da autorização sanitária são de responsabilidade da empresa detentora da autorização.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1º A empresa deve garantir a qualidade, a estabilidade e a segurança do produto da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após a realização da mudança pós Autorização sanitária.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2º A empresa detentora da Autorização Sanitária deverá protocolar novo formulário de petição, conforme disponível no Anexo I, atualizando apenas a informação que foi modificada, dentre as permitidas nessa norma, anexando justificativa, descrevendo a modificação e os documentos que sofreram atualização.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3º Para o caso de mudança de método, deve ser enviado relatório completo contendo o método modificado e a informação sobre a referência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farmacopeica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ou relatório de validação analítica.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46. As alterações no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pós Autorização Sanitária de implementação imediata, após prévio protocolo na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são as estabelecidas a seguir: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 - alteração de layout da rotulagem e embalagem;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 - alteração do local de fabricação do derivado vegetal ou fitofármaco;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III - alteração de local de uma ou mais etapas de fabricação do produto acabado;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IV - as relacionadas aos testes, limites de especificações e métodos analíticos do controle de qualidade do produto acabado;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 - prazo de validade e cuidados de conservação;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 - excipientes; e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VII - suspensão de fabricação.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Parágrafo único. As alterações no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pós Autorização sanitárias, protocoladas na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e previstas nos incisos de I a VI, não necessitam de publicação no Diário Oficial da União.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 xml:space="preserve">Art. 47. As alterações no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pós Autorização Sanitária que devem aguardar autorização da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e requerem prévio protocolo são as definidas a seguir: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 - inclusão de nova apresentação comercial;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 - inclusão de novo acondicionamento da embalagem primária;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III - inclusão de concentração;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IV - cancelamento da Autorização Sanitária da apresentação;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e</w:t>
      </w:r>
      <w:proofErr w:type="gram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 - cancelamento da Autorização Sanitária do produto.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Parágrafo único. Todas as modificações pós Autorização Sanitárias previstas no caput deste artigo necessitam de publicação no DOU.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CAPÍTULO V DOS CONTROLES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Seção I Da Prescrição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48.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podem ser prescritos em condições clínicas de ausência de alternativas terapêuticas, em conformidade com os princípios da ética médica.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1º Os requisitos para a prescrição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não devem incluir razões de custo, conveniência ou necessidades operacionais.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2º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podem ser prescritos quando o médico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prescritor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for o médico assistente diretamente responsável pelo paciente.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3º O médico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prescritor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 apoiar-se em dados técnicos capazes de sugerir que essa alternativa pode ser eficaz e segura.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49. A indicação e forma de uso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são de responsabilidade do médico assistente.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50. Os pacientes devem ser informados sobre o uso de produto da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devendo ser fornecidas, minimamente, as seguintes informações: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 - os riscos à saúde envolvidos;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II - condição regulatória do produto quanto à comprovação de segurança e eficácia, informando que 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não é medicamento;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III - os possíveis efeitos adversos, tomando como exemplo, mas não restrito à: sedação e comprometimento cognitivo, que podem impactar no trabalho, dirigir, operar máquinas ou outras atividades que impliquem riscos para si ou terceiros;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e</w:t>
      </w:r>
      <w:proofErr w:type="gram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IV - os cuidados na utilização.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 xml:space="preserve">§ 1º O paciente ou, na sua impossibilidade, o seu representante legal, deve assinar Termo de Consentimento Livre e Esclarecido (TCLE), o qual deve estar complementado com os dados específicos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2º Deve ser utilizado o TCLE, conforme modelo estabelecido Anexo III desta Resolução ou outro estabelecido pelos respectivos Conselhos de Classe.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3º O TCLE deve ser assinado em duas vias, sendo uma retida pelo paciente ou seu representante legal e outra arquivada pelo médico assistente.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51. A prescrição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com THC até 0,2% deve ser acompanhada da Notificação de Receita "B", nos termos da Portaria SVS/MS nº 344, de 12 de maio de 1998 e suas atualizações.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52. A prescrição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com THC acima de 0,2% deve ser acompanhada da Notificação de Receita "A", nos termos da Portaria SVS/MS nº 344, de 1998 e suas atualizações.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Seção II Da Dispensação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53.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devem ser dispensados exclusivamente por farmácias sem manipulação ou drogarias, mediante apresentação de prescrição por profissional médico, legalmente habilitado.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1º A dispensação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 ser feita, exclusivamente, por profissional farmacêutico.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2º A dispensação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 ser realizada mediante a apresentação de Notificação de Receita específica, emitida exclusivamente por profissional médico, seguindo as demais determinações da Portaria SVS/MS nº 344, de 1998 e suas atualizações.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54. A escrituração da movimentação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em farmácias sem manipulação ou drogarias deverá ser realizada por meio do Sistema Nacional de Gerenciamento de Produtos Controlados (SNGPC), nos termos da Resolução da Diretoria Colegiada - RDC nº 22, de 29 de abril de 2014, e suas atualizações.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Seção III Da Importação de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55. A importação e a exportação de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devem seguir o disposto na Resolução da Diretoria Colegiada - RDC nº 11, de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6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 março de 2013, na Resolução da Diretoria Colegiada - RDC nº 99, de 24 de dezembro de 2008, na Resolução da Diretoria Colegiada - RDC nº 81, de 5 de novembro de 2008, na Resolução da Diretoria Colegiada - </w:t>
      </w: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>RDC nº 201, de 18 de julho de 2002, e na Resolução da Diretoria Colegiada - RDC nº 62, de 11 de fevereiro de 2016, e suas atualizações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56. Os procedimentos de importação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devem seguir o estabelecido na Resolução da Diretoria Colegiada - RDC nº 81, de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5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 novembro de 2008 e suas atualizações, em especial o procedimento I para "Bens e Produtos Sujeitos ao Controle Especial de que trata a Portaria SVS/MS nº 344, de 1998 e suas atualizações, em suas listas "A1", "A2", "A3", "B1", "B2" E "D1".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Seção IV Do Monitoramento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57. Aplicam-se aos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todas as normativas relacionadas às ações de monitoramento aplicáveis a medicamentos.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58. Os profissionais legalmente habilitados à prescrição, demais profissionais de saúde e as empresas responsáveis pela autorização deverão notificar os eventos adversos referentes à utilização de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nos termos da Resolução da Diretoria Colegiada - RDC nº 36, de 25 de julho de 2013, ou suas atualizações.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59. A empresa detentora da Autorização Sanitária deve executar as ações de pós-comercialização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que permitam a adoção, quando necessário, de medidas relativas aos produtos sob sua responsabilidade.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60. A empresa detentora da Autorização Sanitária e o fabricante devem apresentar toda e qualquer informação solicitada, para fins de vigilância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póscomercialização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dentro do prazo estabelecido pela autoridade sanitária.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61. A empresa detentora da Autorização Sanitária deve possuir banco de dados para o registro sistemático, atualizado e rotineiro das atividades e informações relacionadas às notificações de eventos adversos e de desvios de qualidade recebidas.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1º A empresa detentora da Autorização Sanitária deverá elaborar, anualmente, Relatório Periódico de Avaliação Benefício-Risco para 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2º O Relatório Periódico de Avaliação Benefício-Risco poderá ser solicitado pela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, a qualquer momento, a fim de avaliar os benefícios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em relação aos riscos.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62. Devem ser comunicadas à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quaisquer informações relevantes relacionadas à segurança de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 xml:space="preserve">Parágrafo único. As situações de urgência relacionadas à utilização desses produtos que afetem a segurança do usuário devem ser informadas à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em até 72 (setenta e duas) horas.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63. As empresas detentoras da Autorização Sanitária, fabricante ou importadora podem receber, a qualquer tempo, inspeções focadas no monitoramento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pósmercado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desses produtos, conduzidas pelo Sistema Nacional de Vigilância Sanitária (SNVS), anunciadas ou não, sempre que houver necessidade de avaliação do cumprimento da legislação vigente.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Parágrafo único. As empresas detentoras da Autorização Sanitária, fabricação ou importação devem apresentar prontamente toda a documentação solicitada pelos agentes do SNVS, bem como disponibilizar seu pessoal para entrevistas e permitir o acesso ao seu banco de dados, para fins de verificação do cumprimento das exigências legais.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Seção V Do Monitoramento Analítico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64. A Gerência de Laboratórios de Saúde Pública da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- GELAS, deve estabelecer e coordenar um programa especial de monitoramento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65. Os ensaios analíticos em programas de monitoramento devem ser realizados nas modalidades de análises de orientação ou fiscais por laboratórios oficiais ou credenciados.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66. Os resultados dos ensaios analíticos obtidos em programas de monitoramento de mercado e em atividades de monitoramento e fiscalização de rotina devem ser tornados públicos pela autoridade sanitária responsável.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Parágrafo único. Os resultados analíticos insatisfatórios devem ser divulgados depois de concluído o processo de investigação da suspeita de ilícito, sem prejuízo às demais medidas preventivas e cautelares previstas em lei.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67. Os laboratórios analíticos das importadoras, fabricantes ou empresas responsáveis por garantir e zelar pela manutenção da qualidade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até o consumidor final, que realizam ensaios de controle de qualidade nos produtos acabados devem estar habilitados na REBLAS e devem disponibilizar os respectivos dados analíticos à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Seção VI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Da Fiscalização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68. Aplicam-se aos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todas as normativas relacionadas às ações de inspeção para fins de certificação de boas práticas de fabricação e controle, </w:t>
      </w: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 xml:space="preserve">armazenamento, distribuição, transporte e fiscalização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sanitária aplicáveis a medicamentos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69. A Vigilância Sanitária poderá, a qualquer momento, fazer inspeções em todos os estabelecimentos da cadeia de produção, distribuição e comercialização, bem como apreender amostras para realização de análises fiscais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70. Quando solicitado pelos órgãos de vigilância sanitária, os responsáveis pelos produtos deverão prestar as informações ou entregar documentos nos prazos fixados.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71. A comprovação ou evidência de que determinado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é nocivo à saúde ou não preenche requisitos estabelecidos na regulamentação sanitária implica na exigência de modificação do produto, no cancelamento da Autorização Sanitária e/ou no seu recolhimento pela empresa responsável em todo o território nacional e demais penalidades nos termos da Lei nº 6.437, de 20 de agosto de 1977 e suas atualizações, sem prejuízo de outras penalidades previstas em Lei.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CAPÍTULO VI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DAS DISPOSIÇÕES FINAIS E TRANSITÓRIAS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72. As áreas da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Anvisa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responsáveis pela autorização, inspeção, fiscalização e monitoramento de medicamentos, devem estabelecer programa de acompanhamento pós-mercado do produto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73.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autorizados conforme critérios desta Resolução terão prazo de até 365 (trezentos e sessenta e cinco) dias para serem comercializados, contados a partir da data de publicação da concessão da autorização.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Parágrafo único. O descumprimento do disposto no caput implicará no cancelamento da Autorização Sanitária.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74. 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que não se adequarem à categoria de medicamentos no prazo estipulado nesta Resolução terão a Autorização Sanitária cancelada.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§ 1º O cancelamento da Autorização Sanitária dos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pode ser simultâneo à decisão sobre a adequação à categoria de medicamentos.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§ 2º As empresas devem seguir as suas estratégias de pesquisas para comprovação de eficácia e segurança das suas formulações.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Art. 75. Todos os estabelecimentos que exercerem quaisquer atividades com produtos de </w:t>
      </w:r>
      <w:proofErr w:type="spell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Cannabis</w:t>
      </w:r>
      <w:proofErr w:type="spell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devem cumprir todos os requisitos aplicáveis constantes na Portaria SVS/MS nº 344, de 1998, e na Portaria SVS/MS nº 6, de 29 de janeiro de 1999, ou as que vierem a substituí-las.</w:t>
      </w:r>
      <w:bookmarkStart w:id="1" w:name="_GoBack"/>
      <w:bookmarkEnd w:id="1"/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lastRenderedPageBreak/>
        <w:t>Parágrafo único. Os estabelecimentos de que trata o caput deverão ainda realizar o controle e manter registros de toda a cadeia de distribuição, devendo proporcionar informações claras, rápidas e de fácil acesso à autoridade sanitária, quando solicitadas.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76. O descumprimento das disposições contidas nesta Resolução constitui infração sanitária, nos termos da Lei nº 6.437, de 20 de agosto de 1977, sem prejuízo das responsabilidades civil, administrativa e penal cabíveis.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77. As diretrizes estabelecidas nesta Resolução para a Autorização Sanitária são transitórias.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Parágrafo único. Esta Resolução deverá ser revista em até </w:t>
      </w:r>
      <w:proofErr w:type="gramStart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3</w:t>
      </w:r>
      <w:proofErr w:type="gramEnd"/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(três) anos após a sua publicação.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Art. 78. Esta Resolução entra em vigor 90 (noventa) dias a partir da data de sua publicação.</w:t>
      </w:r>
    </w:p>
    <w:p w:rsidR="00A618B6" w:rsidRPr="00A618B6" w:rsidRDefault="00A618B6" w:rsidP="00A618B6">
      <w:pPr>
        <w:spacing w:after="150" w:line="37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A618B6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WILLIAM DIB</w:t>
      </w:r>
    </w:p>
    <w:p w:rsidR="00833E9D" w:rsidRDefault="00833E9D"/>
    <w:sectPr w:rsidR="00833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4973"/>
    <w:multiLevelType w:val="multilevel"/>
    <w:tmpl w:val="25A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B6"/>
    <w:rsid w:val="00833E9D"/>
    <w:rsid w:val="00A6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61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618B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tdata">
    <w:name w:val="not_data"/>
    <w:basedOn w:val="Fontepargpadro"/>
    <w:rsid w:val="00A618B6"/>
  </w:style>
  <w:style w:type="character" w:styleId="Forte">
    <w:name w:val="Strong"/>
    <w:basedOn w:val="Fontepargpadro"/>
    <w:uiPriority w:val="22"/>
    <w:qFormat/>
    <w:rsid w:val="00A618B6"/>
    <w:rPr>
      <w:b/>
      <w:bCs/>
    </w:rPr>
  </w:style>
  <w:style w:type="paragraph" w:customStyle="1" w:styleId="legislacao-ementa">
    <w:name w:val="legislacao-ementa"/>
    <w:basedOn w:val="Normal"/>
    <w:rsid w:val="00A6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18B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61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618B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tdata">
    <w:name w:val="not_data"/>
    <w:basedOn w:val="Fontepargpadro"/>
    <w:rsid w:val="00A618B6"/>
  </w:style>
  <w:style w:type="character" w:styleId="Forte">
    <w:name w:val="Strong"/>
    <w:basedOn w:val="Fontepargpadro"/>
    <w:uiPriority w:val="22"/>
    <w:qFormat/>
    <w:rsid w:val="00A618B6"/>
    <w:rPr>
      <w:b/>
      <w:bCs/>
    </w:rPr>
  </w:style>
  <w:style w:type="paragraph" w:customStyle="1" w:styleId="legislacao-ementa">
    <w:name w:val="legislacao-ementa"/>
    <w:basedOn w:val="Normal"/>
    <w:rsid w:val="00A6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18B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6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6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source=%2Flegisweb%2Fnoticia%2F%3Fid%3D16555%26termo%3Dipva&amp;text=:%20%2Flegisweb%2Fnoticia%2F%3Fid%3D16555%26termo%3Dipva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linkedin.com/shareArticle?mini=true&amp;url=%2Flegisweb%2Fnoticia%2F%3Fid%3D16555%26termo%3Dipva&amp;title=%20IPVA%20%E9%20lan%E7ado%20automaticamente%20no%20Maranh%E3o&amp;summary=&amp;source=%2Flegisweb%2Fnoticia%2F%3Fid%3D16555%26termo%3Dipv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r/sharer.php?u=%2Flegisweb%2Fnoticia%2F%3Fid%3D16555%26termo%3Dipva&amp;t=%20IPVA%20%E9%20lan%E7ado%20automaticamente%20no%20Maranh%E3o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plus.google.com/share?url=%2Flegisweb%2Fnoticia%2F%3Fid%3D16555%26termo%3Dipv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sweb.com.br/produtos/sistemas/st/#inici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6390</Words>
  <Characters>34508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40817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Schiavi de melo dos Santos</dc:creator>
  <cp:lastModifiedBy>Fabiola Schiavi de melo dos Santos</cp:lastModifiedBy>
  <cp:revision>1</cp:revision>
  <dcterms:created xsi:type="dcterms:W3CDTF">2019-12-13T19:26:00Z</dcterms:created>
  <dcterms:modified xsi:type="dcterms:W3CDTF">2019-12-13T19:28:00Z</dcterms:modified>
</cp:coreProperties>
</file>